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32"/>
          <w:szCs w:val="32"/>
        </w:rPr>
      </w:pPr>
      <w:bookmarkStart w:id="0" w:name="_GoBack"/>
      <w:r>
        <w:rPr>
          <w:rStyle w:val="5"/>
          <w:rFonts w:hint="eastAsia" w:asciiTheme="minorEastAsia" w:hAnsiTheme="minorEastAsia" w:eastAsiaTheme="minorEastAsia" w:cstheme="minorEastAsia"/>
          <w:i w:val="0"/>
          <w:caps w:val="0"/>
          <w:color w:val="333333"/>
          <w:spacing w:val="8"/>
          <w:sz w:val="32"/>
          <w:szCs w:val="32"/>
          <w:bdr w:val="none" w:color="auto" w:sz="0" w:space="0"/>
          <w:shd w:val="clear" w:fill="FFFFFF"/>
        </w:rPr>
        <w:t>教育部等八部门关于加快构建高校思想政治工作体系的意见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8"/>
          <w:sz w:val="22"/>
          <w:szCs w:val="22"/>
        </w:rPr>
      </w:pPr>
      <w:r>
        <w:rPr>
          <w:rFonts w:hint="eastAsia" w:asciiTheme="minorEastAsia" w:hAnsiTheme="minorEastAsia" w:eastAsiaTheme="minorEastAsia" w:cstheme="minorEastAsia"/>
          <w:b w:val="0"/>
          <w:i w:val="0"/>
          <w:caps w:val="0"/>
          <w:color w:val="333333"/>
          <w:spacing w:val="8"/>
          <w:sz w:val="22"/>
          <w:szCs w:val="22"/>
          <w:bdr w:val="none" w:color="auto" w:sz="0" w:space="0"/>
          <w:shd w:val="clear" w:fill="FFFFFF"/>
        </w:rPr>
        <w:t>教思政〔2020〕1号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22"/>
          <w:szCs w:val="2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bdr w:val="none" w:color="auto" w:sz="0" w:space="0"/>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一、指导思想和目标任务</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二、理论武装体系</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b/>
          <w:bCs/>
          <w:sz w:val="22"/>
          <w:szCs w:val="22"/>
          <w:bdr w:val="none" w:color="auto" w:sz="0" w:space="0"/>
        </w:rPr>
        <w:t>　　三、学科教学体系</w:t>
      </w:r>
      <w:r>
        <w:rPr>
          <w:rFonts w:hint="eastAsia" w:asciiTheme="minorEastAsia" w:hAnsiTheme="minorEastAsia" w:eastAsiaTheme="minorEastAsia" w:cstheme="minorEastAsia"/>
          <w:b/>
          <w:bCs/>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四、日常教育体系</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11.繁荣校园文化。坚持培育优良校风教风学风，持续开展文明校园创建活动。建设一批文化传承基地。发挥校园建筑景观、文物和校史校训校歌的文化价值。加强高校原创文化精品创作与推广。</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12.加强网络育人。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五、管理服务体系</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14.提高管理服务水平。健全管理服务育人制度体系，宣传推广一批管理服务育人的先进经验和典型做法，大力营造治理有方、管理到位、风清气正的制度育人环境。</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17.完善精准资助育人。精准认定家庭经济困难学生，健全四级资助认定工作机制，完善档案、动态管理。建设发展型资助体系，加大家庭经济困难学生能力素养培育力度。</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六、安全稳定体系</w:t>
      </w:r>
      <w:r>
        <w:rPr>
          <w:rStyle w:val="5"/>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18.强化高校政治安全。认真落实意识形态工作责任制，加强高校思想文化阵地管理，严格实行审批制度。坚决抵御境外利用宗教渗透，防范校园传教活动。</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19.加强国家安全教育。持续推动国家安全教育进学校、进教材、进头脑，把集中教育活动与日常教育活动、课堂教育教学与社会实践相结合。建立健全国家安全教育长效机制，不断充实教育内容，完善教学体系。</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20.筑牢校园安全防线。切实保护学生生命安全、财产安全、身体健康，严格落实安全防范工作规范要求，强化安全基础建设，完善校园及周边治安综合治理机制。</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21.健全安全责任体系。落实高校安全管理主体责任，完善相应协调和会商机制，落实“一岗双责”。完善预警预防、综合研判、应急处置、督查报告、责任追究等工作制度。</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七、队伍建设体系</w:t>
      </w:r>
      <w:r>
        <w:rPr>
          <w:rStyle w:val="5"/>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八、评估督导体系</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26.完善推进落实机制。明确责任分工，细化实施方案，及时研究解决重点问题。将高校思想政治工作纳入整体发展规划和年度工作计划，明确路线图、时间表、责任人。</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27.健全督导问责机制。强化高校思想政治工作督导考核，对履职尽责不力、不及时的，加大追责力度。实行校、院系、基层党组织书记抓党建和思想政治工作述职评议考核制度，纳入党纪监督检查范围。</w:t>
      </w:r>
      <w:r>
        <w:rPr>
          <w:rFonts w:hint="eastAsia" w:asciiTheme="minorEastAsia" w:hAnsiTheme="minorEastAsia" w:eastAsiaTheme="minorEastAsia" w:cstheme="minorEastAsia"/>
          <w:sz w:val="22"/>
          <w:szCs w:val="22"/>
          <w:bdr w:val="none" w:color="auto" w:sz="0" w:space="0"/>
        </w:rPr>
        <w:br w:type="textWrapping"/>
      </w:r>
      <w:r>
        <w:rPr>
          <w:rStyle w:val="5"/>
          <w:rFonts w:hint="eastAsia" w:asciiTheme="minorEastAsia" w:hAnsiTheme="minorEastAsia" w:eastAsiaTheme="minorEastAsia" w:cstheme="minorEastAsia"/>
          <w:sz w:val="22"/>
          <w:szCs w:val="22"/>
          <w:bdr w:val="none" w:color="auto" w:sz="0" w:space="0"/>
        </w:rPr>
        <w:t>　　九、组织领导和实施保障</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　　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br w:type="textWrapping"/>
      </w:r>
      <w:r>
        <w:rPr>
          <w:rFonts w:hint="eastAsia" w:asciiTheme="minorEastAsia" w:hAnsiTheme="minorEastAsia" w:eastAsiaTheme="minorEastAsia" w:cstheme="minorEastAsia"/>
          <w:sz w:val="22"/>
          <w:szCs w:val="22"/>
          <w:bdr w:val="none" w:color="auto" w:sz="0" w:space="0"/>
        </w:rPr>
        <w:t>教育部 中共中央组织部 中共中央宣传部</w:t>
      </w:r>
      <w:r>
        <w:rPr>
          <w:rFonts w:hint="eastAsia" w:asciiTheme="minorEastAsia" w:hAnsiTheme="minorEastAsia" w:cstheme="minorEastAsia"/>
          <w:sz w:val="22"/>
          <w:szCs w:val="22"/>
          <w:bdr w:val="none" w:color="auto" w:sz="0" w:space="0"/>
          <w:lang w:val="en-US" w:eastAsia="zh-CN"/>
        </w:rPr>
        <w:t xml:space="preserve"> </w:t>
      </w:r>
      <w:r>
        <w:rPr>
          <w:rFonts w:hint="eastAsia" w:asciiTheme="minorEastAsia" w:hAnsiTheme="minorEastAsia" w:eastAsiaTheme="minorEastAsia" w:cstheme="minorEastAsia"/>
          <w:sz w:val="22"/>
          <w:szCs w:val="22"/>
          <w:bdr w:val="none" w:color="auto" w:sz="0" w:space="0"/>
        </w:rPr>
        <w:t>中共中央政法委员会 中央网络安全和信息化委员会办公室</w:t>
      </w:r>
      <w:r>
        <w:rPr>
          <w:rFonts w:hint="eastAsia" w:asciiTheme="minorEastAsia" w:hAnsiTheme="minorEastAsia" w:cstheme="minorEastAsia"/>
          <w:sz w:val="22"/>
          <w:szCs w:val="22"/>
          <w:bdr w:val="none" w:color="auto" w:sz="0" w:space="0"/>
          <w:lang w:val="en-US" w:eastAsia="zh-CN"/>
        </w:rPr>
        <w:t xml:space="preserve"> </w:t>
      </w:r>
      <w:r>
        <w:rPr>
          <w:rFonts w:hint="eastAsia" w:asciiTheme="minorEastAsia" w:hAnsiTheme="minorEastAsia" w:eastAsiaTheme="minorEastAsia" w:cstheme="minorEastAsia"/>
          <w:sz w:val="22"/>
          <w:szCs w:val="22"/>
          <w:bdr w:val="none" w:color="auto" w:sz="0" w:space="0"/>
        </w:rPr>
        <w:t>财政部 人力资源社会保障部 共青团中央</w:t>
      </w:r>
      <w:r>
        <w:rPr>
          <w:rFonts w:hint="eastAsia" w:asciiTheme="minorEastAsia" w:hAnsiTheme="minorEastAsia" w:cstheme="minorEastAsia"/>
          <w:sz w:val="22"/>
          <w:szCs w:val="22"/>
          <w:bdr w:val="none" w:color="auto" w:sz="0" w:space="0"/>
          <w:lang w:val="en-US" w:eastAsia="zh-CN"/>
        </w:rPr>
        <w:t xml:space="preserve">   </w:t>
      </w:r>
      <w:r>
        <w:rPr>
          <w:rFonts w:hint="eastAsia" w:asciiTheme="minorEastAsia" w:hAnsiTheme="minorEastAsia" w:eastAsiaTheme="minorEastAsia" w:cstheme="minorEastAsia"/>
          <w:sz w:val="22"/>
          <w:szCs w:val="22"/>
          <w:bdr w:val="none" w:color="auto" w:sz="0" w:space="0"/>
        </w:rPr>
        <w:t>2020年4月22日</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2764D"/>
    <w:rsid w:val="6B22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2020-05-12T12:38:00Z</dcterms:created>
  <dc:creator>戴智堂</dc:creator>
  <cp:lastModifiedBy>戴智堂</cp:lastModifiedBy>
  <cp:lastPrinted>2020-05-12T12:44:07Z</cp:lastPrinted>
  <dcterms:modified xsi:type="dcterms:W3CDTF">2020-05-12T12:47:21Z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